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A" w:rsidRDefault="00CB73BA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387"/>
        <w:gridCol w:w="137"/>
        <w:gridCol w:w="561"/>
        <w:gridCol w:w="580"/>
        <w:gridCol w:w="531"/>
        <w:gridCol w:w="356"/>
        <w:gridCol w:w="495"/>
        <w:gridCol w:w="356"/>
        <w:gridCol w:w="892"/>
        <w:gridCol w:w="562"/>
        <w:gridCol w:w="496"/>
        <w:gridCol w:w="495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293" w:rsidRDefault="00DE29F4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836293">
              <w:rPr>
                <w:sz w:val="28"/>
                <w:szCs w:val="28"/>
              </w:rPr>
              <w:t xml:space="preserve"> </w:t>
            </w:r>
          </w:p>
          <w:p w:rsidR="00C102CD" w:rsidRPr="004560BA" w:rsidRDefault="00836293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Белгородского района</w:t>
            </w: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2CD" w:rsidRPr="001A6EA8" w:rsidRDefault="00C102CD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A6EA8">
              <w:rPr>
                <w:sz w:val="20"/>
                <w:szCs w:val="20"/>
              </w:rPr>
              <w:t xml:space="preserve">(указывается </w:t>
            </w:r>
            <w:r w:rsidR="001A6EA8" w:rsidRPr="001A6EA8">
              <w:rPr>
                <w:sz w:val="20"/>
                <w:szCs w:val="20"/>
              </w:rPr>
              <w:t>наименование кадрового подразделения органа местного самоуправления</w:t>
            </w:r>
            <w:r w:rsidRPr="001A6EA8">
              <w:rPr>
                <w:sz w:val="20"/>
                <w:szCs w:val="20"/>
              </w:rPr>
              <w:t>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proofErr w:type="gramStart"/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proofErr w:type="gramStart"/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  <w:proofErr w:type="gramEnd"/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зарегистрированный</w:t>
            </w:r>
            <w:proofErr w:type="gramEnd"/>
            <w:r w:rsidRPr="004560BA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374972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</w:t>
            </w:r>
            <w:r w:rsidR="00EE4BE4" w:rsidRPr="00C27282">
              <w:rPr>
                <w:sz w:val="28"/>
                <w:szCs w:val="28"/>
                <w:u w:val="single"/>
              </w:rPr>
              <w:t>своих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proofErr w:type="gramStart"/>
            <w:r w:rsidR="00EE4BE4">
              <w:t>нужное</w:t>
            </w:r>
            <w:proofErr w:type="gramEnd"/>
            <w:r w:rsidR="00EE4BE4">
              <w:t xml:space="preserve">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C27282" w:rsidP="0037497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г</w:t>
            </w:r>
            <w:proofErr w:type="gramEnd"/>
            <w:r w:rsidRPr="004560BA">
              <w:rPr>
                <w:sz w:val="28"/>
                <w:szCs w:val="28"/>
              </w:rPr>
              <w:t>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58DD">
              <w:rPr>
                <w:rFonts w:ascii="Times New Roman" w:hAnsi="Times New Roman" w:cs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FF6628">
              <w:rPr>
                <w:rFonts w:ascii="Times New Roman" w:hAnsi="Times New Roman" w:cs="Times New Roman"/>
              </w:rPr>
              <w:t xml:space="preserve"> и Белгородской области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  <w:r w:rsidR="00C27282">
              <w:t>работа по совместительству с 01.01.2015 по  25.05.2015 в МОУ «майская»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C27282">
      <w:pPr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 w:rsidRPr="00D30A3E">
              <w:rPr>
                <w:sz w:val="22"/>
                <w:szCs w:val="22"/>
              </w:rPr>
              <w:t xml:space="preserve">Указываются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 w:rsidRPr="00D30A3E">
              <w:rPr>
                <w:sz w:val="22"/>
                <w:szCs w:val="22"/>
              </w:rPr>
              <w:t xml:space="preserve">Доход, </w:t>
            </w:r>
            <w:proofErr w:type="gramStart"/>
            <w:r w:rsidRPr="00D30A3E">
              <w:rPr>
                <w:sz w:val="22"/>
                <w:szCs w:val="22"/>
              </w:rPr>
              <w:t>полученный</w:t>
            </w:r>
            <w:proofErr w:type="gramEnd"/>
            <w:r w:rsidRPr="00D30A3E">
              <w:rPr>
                <w:sz w:val="22"/>
                <w:szCs w:val="22"/>
              </w:rPr>
              <w:t xml:space="preserve">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="00FF6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 xml:space="preserve">О </w:t>
            </w:r>
            <w:proofErr w:type="gramStart"/>
            <w:r w:rsidRPr="00F658DD">
              <w:rPr>
                <w:sz w:val="22"/>
                <w:szCs w:val="22"/>
              </w:rPr>
              <w:t>контроле за</w:t>
            </w:r>
            <w:proofErr w:type="gramEnd"/>
            <w:r w:rsidRPr="00F658DD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 w:rsidRPr="00F658DD">
              <w:rPr>
                <w:sz w:val="22"/>
                <w:szCs w:val="22"/>
              </w:rPr>
              <w:t xml:space="preserve">Указываются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lastRenderedPageBreak/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spellStart"/>
            <w:proofErr w:type="gramStart"/>
            <w:r w:rsidRPr="00BE5D94">
              <w:t>п</w:t>
            </w:r>
            <w:proofErr w:type="spellEnd"/>
            <w:proofErr w:type="gramEnd"/>
            <w:r w:rsidRPr="00BE5D94">
              <w:t>/</w:t>
            </w:r>
            <w:proofErr w:type="spellStart"/>
            <w:r w:rsidRPr="00BE5D94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F15AF0" w:rsidP="00F15AF0">
            <w:pPr>
              <w:jc w:val="center"/>
            </w:pPr>
            <w:r w:rsidRPr="00A75554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C27282" w:rsidP="00374972">
            <w: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C27282" w:rsidP="00374972">
            <w: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C27282" w:rsidP="00374972">
            <w: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C27282" w:rsidP="00374972">
            <w: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75554" w:rsidRDefault="00A75554" w:rsidP="00374972">
      <w:pPr>
        <w:ind w:right="-1"/>
      </w:pPr>
    </w:p>
    <w:p w:rsidR="00A75554" w:rsidRDefault="00A75554" w:rsidP="00374972">
      <w:pPr>
        <w:ind w:right="-1"/>
      </w:pPr>
    </w:p>
    <w:p w:rsidR="00A75554" w:rsidRDefault="00A75554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7C7CBD">
              <w:rPr>
                <w:sz w:val="22"/>
                <w:szCs w:val="22"/>
              </w:rPr>
              <w:t> У</w:t>
            </w:r>
            <w:proofErr w:type="gramEnd"/>
            <w:r w:rsidRPr="007C7CBD">
              <w:rPr>
                <w:sz w:val="22"/>
                <w:szCs w:val="22"/>
              </w:rPr>
              <w:t>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spellStart"/>
            <w:proofErr w:type="gramStart"/>
            <w:r w:rsidRPr="00BE5D94">
              <w:t>п</w:t>
            </w:r>
            <w:proofErr w:type="spellEnd"/>
            <w:proofErr w:type="gramEnd"/>
            <w:r w:rsidRPr="00BE5D94">
              <w:t>/</w:t>
            </w:r>
            <w:proofErr w:type="spellStart"/>
            <w:r w:rsidRPr="00BE5D94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C27282" w:rsidP="00374972">
            <w:r>
              <w:t>нет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C27282" w:rsidP="00374972">
            <w:r>
              <w:t>нет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r>
              <w:t xml:space="preserve">ОАО «Сбербанк», </w:t>
            </w:r>
            <w:proofErr w:type="gramStart"/>
            <w:r>
              <w:t>г</w:t>
            </w:r>
            <w:proofErr w:type="gramEnd"/>
            <w:r>
              <w:t>. Белгород, ул.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roofErr w:type="spellStart"/>
            <w:r>
              <w:t>зарплатная</w:t>
            </w:r>
            <w:proofErr w:type="spellEnd"/>
            <w:r>
              <w:t xml:space="preserve"> карта,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15.03.2010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10,15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 превышает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0" w:name="Par620"/>
      <w:bookmarkStart w:id="1" w:name="Par621"/>
      <w:bookmarkEnd w:id="0"/>
      <w:bookmarkEnd w:id="1"/>
      <w:r>
        <w:rPr>
          <w:b/>
          <w:bCs/>
        </w:rPr>
        <w:lastRenderedPageBreak/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</w:t>
      </w:r>
      <w:r w:rsidR="001A6EA8">
        <w:t>__________________</w:t>
      </w:r>
      <w:r w:rsidR="00D31BA2">
        <w:t>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пользовании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r>
              <w:t>безвозмездное бессрочное пользование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r>
              <w:t>фактическое предоставление свекровью (Синицыной В.Н.)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proofErr w:type="gramStart"/>
      <w:r w:rsidR="00A0368A" w:rsidRPr="00FC755A">
        <w:rPr>
          <w:b/>
          <w:bCs/>
          <w:sz w:val="22"/>
          <w:szCs w:val="22"/>
          <w:vertAlign w:val="superscript"/>
        </w:rPr>
        <w:t>1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A0368A" w:rsidRDefault="00A0368A" w:rsidP="00374972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368A" w:rsidRPr="002B145C" w:rsidRDefault="00A0368A" w:rsidP="00374972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 w:rsidR="00822CB3"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A0368A" w:rsidRDefault="00A0368A" w:rsidP="00374972">
      <w:pPr>
        <w:spacing w:before="240"/>
      </w:pPr>
    </w:p>
    <w:p w:rsidR="00FC01A3" w:rsidRDefault="00A0368A" w:rsidP="0037497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 w:rsidR="00FC01A3">
        <w:rPr>
          <w:sz w:val="22"/>
          <w:szCs w:val="22"/>
        </w:rPr>
        <w:br/>
      </w:r>
    </w:p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394"/>
      </w:tblGrid>
      <w:tr w:rsidR="00AE5679" w:rsidTr="00AE5679">
        <w:tc>
          <w:tcPr>
            <w:tcW w:w="5529" w:type="dxa"/>
            <w:shd w:val="clear" w:color="auto" w:fill="auto"/>
          </w:tcPr>
          <w:p w:rsidR="00AE5679" w:rsidRDefault="00AE5679" w:rsidP="00374972">
            <w:pPr>
              <w:tabs>
                <w:tab w:val="left" w:pos="-120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AE5679" w:rsidRDefault="00AE5679" w:rsidP="00374972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</w:tbl>
    <w:p w:rsidR="003F3CD9" w:rsidRDefault="003F3CD9" w:rsidP="00374972">
      <w:pPr>
        <w:ind w:firstLine="567"/>
        <w:jc w:val="both"/>
      </w:pP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sectPr w:rsidR="00192BBF" w:rsidSect="00E05B0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05" w:rsidRDefault="00A87505">
      <w:r>
        <w:separator/>
      </w:r>
    </w:p>
  </w:endnote>
  <w:endnote w:type="continuationSeparator" w:id="0">
    <w:p w:rsidR="00A87505" w:rsidRDefault="00A8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96" w:rsidRDefault="0039450A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F96" w:rsidRDefault="00177F96" w:rsidP="00FC01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96" w:rsidRDefault="00177F96" w:rsidP="00FC01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05" w:rsidRDefault="00A87505">
      <w:r>
        <w:separator/>
      </w:r>
    </w:p>
  </w:footnote>
  <w:footnote w:type="continuationSeparator" w:id="0">
    <w:p w:rsidR="00A87505" w:rsidRDefault="00A87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96" w:rsidRDefault="0039450A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7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F96" w:rsidRDefault="00177F96" w:rsidP="00FC01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96" w:rsidRDefault="0039450A">
    <w:pPr>
      <w:pStyle w:val="a3"/>
      <w:jc w:val="center"/>
    </w:pPr>
    <w:fldSimple w:instr=" PAGE   \* MERGEFORMAT ">
      <w:r w:rsidR="00C27282">
        <w:rPr>
          <w:noProof/>
        </w:rPr>
        <w:t>10</w:t>
      </w:r>
    </w:fldSimple>
  </w:p>
  <w:p w:rsidR="00177F96" w:rsidRDefault="00177F96" w:rsidP="00D14FF6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452D"/>
    <w:rsid w:val="000555FF"/>
    <w:rsid w:val="000561BA"/>
    <w:rsid w:val="0005755C"/>
    <w:rsid w:val="0005796E"/>
    <w:rsid w:val="00061867"/>
    <w:rsid w:val="00062F15"/>
    <w:rsid w:val="00063602"/>
    <w:rsid w:val="00064DB8"/>
    <w:rsid w:val="00065404"/>
    <w:rsid w:val="000658FA"/>
    <w:rsid w:val="00074228"/>
    <w:rsid w:val="000760A8"/>
    <w:rsid w:val="00076B2E"/>
    <w:rsid w:val="000803B8"/>
    <w:rsid w:val="00082CE5"/>
    <w:rsid w:val="00082E69"/>
    <w:rsid w:val="0008788A"/>
    <w:rsid w:val="0009037D"/>
    <w:rsid w:val="00090A37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8F"/>
    <w:rsid w:val="00177606"/>
    <w:rsid w:val="00177B71"/>
    <w:rsid w:val="00177F96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A6EA8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50A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2F7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1A35"/>
    <w:rsid w:val="005625DB"/>
    <w:rsid w:val="00563A83"/>
    <w:rsid w:val="00564E3F"/>
    <w:rsid w:val="005653C4"/>
    <w:rsid w:val="00565A26"/>
    <w:rsid w:val="00570702"/>
    <w:rsid w:val="00570FE8"/>
    <w:rsid w:val="00574199"/>
    <w:rsid w:val="00575C69"/>
    <w:rsid w:val="00580F3D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4B4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48E5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165E"/>
    <w:rsid w:val="005F32A4"/>
    <w:rsid w:val="005F5787"/>
    <w:rsid w:val="005F6A8D"/>
    <w:rsid w:val="00602CBD"/>
    <w:rsid w:val="006048AE"/>
    <w:rsid w:val="00605882"/>
    <w:rsid w:val="00607185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00AE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36293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5829"/>
    <w:rsid w:val="00876EFB"/>
    <w:rsid w:val="0088030F"/>
    <w:rsid w:val="00880B19"/>
    <w:rsid w:val="00883F4C"/>
    <w:rsid w:val="00886135"/>
    <w:rsid w:val="00887283"/>
    <w:rsid w:val="008874C5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293F"/>
    <w:rsid w:val="008D2999"/>
    <w:rsid w:val="008D59F6"/>
    <w:rsid w:val="008E0188"/>
    <w:rsid w:val="008E0D48"/>
    <w:rsid w:val="008E122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39DE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B85"/>
    <w:rsid w:val="00A60CD5"/>
    <w:rsid w:val="00A6479D"/>
    <w:rsid w:val="00A6597C"/>
    <w:rsid w:val="00A66D7A"/>
    <w:rsid w:val="00A6709A"/>
    <w:rsid w:val="00A710C6"/>
    <w:rsid w:val="00A711F0"/>
    <w:rsid w:val="00A720CD"/>
    <w:rsid w:val="00A748FA"/>
    <w:rsid w:val="00A74A3D"/>
    <w:rsid w:val="00A75554"/>
    <w:rsid w:val="00A7774F"/>
    <w:rsid w:val="00A80364"/>
    <w:rsid w:val="00A82305"/>
    <w:rsid w:val="00A868B1"/>
    <w:rsid w:val="00A87505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5D06"/>
    <w:rsid w:val="00AD6728"/>
    <w:rsid w:val="00AD6E3A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282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C41"/>
    <w:rsid w:val="00C47DF3"/>
    <w:rsid w:val="00C50F8A"/>
    <w:rsid w:val="00C5143D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E7E6A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29F4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2AEA"/>
    <w:rsid w:val="00F13FFF"/>
    <w:rsid w:val="00F15AF0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628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urist</cp:lastModifiedBy>
  <cp:revision>7</cp:revision>
  <cp:lastPrinted>2015-03-03T14:16:00Z</cp:lastPrinted>
  <dcterms:created xsi:type="dcterms:W3CDTF">2015-03-03T14:19:00Z</dcterms:created>
  <dcterms:modified xsi:type="dcterms:W3CDTF">2016-07-21T14:43:00Z</dcterms:modified>
</cp:coreProperties>
</file>